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Default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0523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Default"/>
        <w:jc w:val="center"/>
        <w:rPr/>
      </w:pPr>
      <w:r>
        <w:rPr>
          <w:rFonts w:cs="Arial" w:ascii="Arial" w:hAnsi="Arial"/>
          <w:b/>
          <w:color w:val="000000"/>
          <w:sz w:val="28"/>
          <w:szCs w:val="28"/>
        </w:rPr>
        <w:t>Odborný seminár september /október 2019:</w:t>
      </w:r>
    </w:p>
    <w:p>
      <w:pPr>
        <w:pStyle w:val="Default"/>
        <w:jc w:val="center"/>
        <w:rPr>
          <w:rFonts w:ascii="Arial" w:hAnsi="Arial" w:cs="Arial"/>
          <w:b/>
          <w:b/>
          <w:color w:val="1F497D"/>
          <w:sz w:val="32"/>
          <w:szCs w:val="32"/>
        </w:rPr>
      </w:pPr>
      <w:r>
        <w:rPr>
          <w:rFonts w:cs="Arial" w:ascii="Arial" w:hAnsi="Arial"/>
          <w:b/>
          <w:color w:val="1F497D"/>
          <w:sz w:val="32"/>
          <w:szCs w:val="32"/>
        </w:rPr>
        <w:t xml:space="preserve">  </w:t>
      </w:r>
    </w:p>
    <w:p>
      <w:pPr>
        <w:pStyle w:val="Defaul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907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Default"/>
              <w:spacing w:before="0" w:after="0"/>
              <w:ind w:left="0" w:right="0" w:hanging="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40"/>
                <w:szCs w:val="4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40"/>
                <w:szCs w:val="40"/>
                <w:u w:val="none"/>
              </w:rPr>
              <w:t>Vecnoprávne vzťahy k nehnuteľnostiam  a    spôsob ich riešenia v mediácii</w:t>
            </w:r>
          </w:p>
          <w:p>
            <w:pPr>
              <w:pStyle w:val="Default"/>
              <w:rPr>
                <w:rFonts w:ascii="Arial" w:hAnsi="Arial"/>
                <w:i w:val="false"/>
                <w:i w:val="false"/>
                <w:iCs w:val="false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36"/>
                <w:szCs w:val="36"/>
              </w:rPr>
              <w:t xml:space="preserve"> </w:t>
            </w:r>
          </w:p>
        </w:tc>
      </w:tr>
    </w:tbl>
    <w:p>
      <w:pPr>
        <w:pStyle w:val="Default"/>
        <w:jc w:val="center"/>
        <w:rPr>
          <w:rFonts w:ascii="Arial" w:hAnsi="Arial" w:cs="Arial"/>
          <w:b/>
          <w:b/>
          <w:color w:val="1F497D"/>
          <w:sz w:val="32"/>
          <w:szCs w:val="32"/>
        </w:rPr>
      </w:pPr>
      <w:r>
        <w:rPr>
          <w:rFonts w:cs="Arial" w:ascii="Arial" w:hAnsi="Arial"/>
          <w:b/>
          <w:color w:val="1F497D"/>
          <w:sz w:val="32"/>
          <w:szCs w:val="32"/>
        </w:rPr>
        <w:t xml:space="preserve"> </w:t>
      </w:r>
    </w:p>
    <w:p>
      <w:pPr>
        <w:pStyle w:val="Normal"/>
        <w:shd w:val="clear" w:fill="FFFFFF"/>
        <w:tabs>
          <w:tab w:val="left" w:pos="585" w:leader="none"/>
          <w:tab w:val="center" w:pos="4536" w:leader="none"/>
        </w:tabs>
        <w:spacing w:before="0" w:after="0"/>
        <w:ind w:left="360" w:right="0" w:hanging="0"/>
        <w:jc w:val="center"/>
        <w:rPr/>
      </w:pPr>
      <w:r>
        <w:rPr>
          <w:rFonts w:cs="Arial" w:ascii="Arial" w:hAnsi="Arial"/>
          <w:b/>
          <w:bCs/>
          <w:color w:val="FFFFFF"/>
          <w:sz w:val="28"/>
          <w:szCs w:val="28"/>
        </w:rPr>
        <w:tab/>
      </w:r>
      <w:r>
        <w:rPr/>
        <w:t xml:space="preserve">Odborný seminár </w:t>
      </w:r>
      <w:r>
        <w:rPr>
          <w:strike w:val="false"/>
          <w:dstrike w:val="false"/>
          <w:color w:val="000000"/>
          <w:sz w:val="22"/>
          <w:u w:val="none"/>
        </w:rPr>
        <w:t>podľa ustanovenia § 10a ods. 2 zákona č. 420/2004 Z. z. o mediácii a o doplnení niektorých zákonov v znení neskorších predpisov</w:t>
      </w:r>
      <w:r>
        <w:rPr/>
        <w:br/>
      </w:r>
    </w:p>
    <w:p>
      <w:pPr>
        <w:pStyle w:val="Normal"/>
        <w:shd w:val="clear" w:fill="FFFFFF"/>
        <w:tabs>
          <w:tab w:val="left" w:pos="585" w:leader="none"/>
          <w:tab w:val="center" w:pos="4536" w:leader="none"/>
        </w:tabs>
        <w:spacing w:before="0" w:after="0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Slovenský inštitút pre mediáciu a alternatívne riešenie sporov, z.z.p.o., IČO:42053455  je  registrovaný poskytovateľ vzdelávania v registri vzdelávacích inštitúcií Ministerstva spravodlivosti, evidenčné číslo: 36, spisová značka:37237/2019/152.</w:t>
      </w:r>
    </w:p>
    <w:p>
      <w:pPr>
        <w:pStyle w:val="Normal"/>
        <w:shd w:val="clear" w:fill="FFFFFF"/>
        <w:tabs>
          <w:tab w:val="left" w:pos="585" w:leader="none"/>
          <w:tab w:val="center" w:pos="4536" w:leader="none"/>
        </w:tabs>
        <w:spacing w:before="0" w:after="0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774" w:type="dxa"/>
        <w:jc w:val="lef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269"/>
        <w:gridCol w:w="8504"/>
      </w:tblGrid>
      <w:tr>
        <w:trPr>
          <w:trHeight w:val="380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color w:val="FFFFFF"/>
              </w:rPr>
            </w:pPr>
            <w:r>
              <w:rPr>
                <w:rFonts w:cs="Arial" w:ascii="Arial" w:hAnsi="Arial"/>
                <w:b/>
                <w:bCs/>
                <w:color w:val="FFFFFF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7888605</wp:posOffset>
                      </wp:positionV>
                      <wp:extent cx="6661785" cy="9525"/>
                      <wp:effectExtent l="0" t="0" r="0" b="0"/>
                      <wp:wrapNone/>
                      <wp:docPr id="2" name="Rámec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080" cy="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ámec2" stroked="f" style="position:absolute;margin-left:32.05pt;margin-top:621.15pt;width:524.45pt;height:0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36830" distB="36830" distL="36830" distR="36830" simplePos="0" locked="0" layoutInCell="1" allowOverlap="1" relativeHeight="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11089640</wp:posOffset>
                      </wp:positionV>
                      <wp:extent cx="6661785" cy="7748905"/>
                      <wp:effectExtent l="0" t="0" r="0" b="0"/>
                      <wp:wrapNone/>
                      <wp:docPr id="4" name="Obrázek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080" cy="774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dir="2700000" dist="30547">
                                  <a:srgbClr val="cccccc"/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ázek1" stroked="f" style="position:absolute;margin-left:31.6pt;margin-top:873.2pt;width:524.45pt;height:610.0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4F81BD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color w:val="FFFFFF"/>
              </w:rPr>
            </w:pPr>
            <w:r>
              <w:rPr>
                <w:rFonts w:cs="Arial" w:ascii="Arial" w:hAnsi="Arial"/>
                <w:b/>
                <w:bCs/>
                <w:color w:val="FFFFFF"/>
              </w:rPr>
            </w:r>
          </w:p>
        </w:tc>
      </w:tr>
      <w:tr>
        <w:trPr>
          <w:trHeight w:val="578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Miesto konania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Primaciálny palác, </w:t>
            </w: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Primaciálne námestie 2, 811 01 Bratislava</w:t>
            </w:r>
          </w:p>
        </w:tc>
      </w:tr>
      <w:tr>
        <w:trPr>
          <w:trHeight w:val="578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Termíny konania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17.9.2019, 8,30 - 15,30  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5.10.2019  8,30 - 15,30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78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Organizačné zabezpečenie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Prednášková miestnosť v Primaciálnom paláci, Bratislava. 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Technické vybavenie - zariadenie na powerpointovú prezentáciu, flipchart, študijné materiály pripravené lektormi, písacie pomôcky, poznámkový blok.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;sans-serif" w:hAnsi="arial;sans-serif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Frekventom bude poskytnuté občerstvenie a obed v reštaurácii v Starom Meste.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;sans-serif" w:hAnsi="arial;sans-serif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Minimálny počet účastníkov: 10, maximálny počet účastníkov: 35.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Zodp. Mgr.Alexandra Jurkovičová, pracovníčka Slovenského inštitútu pre mediáciu a alternatívne riešenie sporov, z.z.p.o., kontakt: admin@simars.sk,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;sans-serif" w:hAnsi="arial;sans-serif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tlf. 0915764502. </w:t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Forma  aktivity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Prednáška, praktické a rolové cvičenia, rozbor kazuistík.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44,00 €   (poskytovateľ nie je plátcom DPH),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vrátane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50% zľavy z odporúčanej ceny predajcov 12,95 € na okamžité zakúpenie knižnej novinky František Kutlík: „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Interkultúrna mediácia a riešenie konfliktov pri práci s cudzincami“,(142 strán)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ktorá sa v septembri 2019 dostáva do siete kníhkupectiev.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sk-SK"/>
              </w:rPr>
              <w:t>8,30 - 9,15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Základný právny kompas v problematike, o.i.: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eastAsia="Times New Roman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>- právne inštitúty a terminológia pozemkového práva,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eastAsia="Times New Roman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>- vecnoprávne vzťahy k nehnuteľnostiam,</w:t>
            </w:r>
          </w:p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vlastnícke právo k nehnuteľnostiam a zápisy v liste vlastníctva (ako čítať list vlastníctva…),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spôsoby nadobudnutia vlastníckeho práva - stavbou, dedením, zmluvou ...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;Helvetica;sans-serif" w:hAnsi="Arial;Helvetica;sans-serif" w:eastAsia="Times New Roman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- druhy vlastníckeho práva - výlučné vlastníctvo, podielové spoluvlastníctvo,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;Helvetica;sans-serif" w:hAnsi="Arial;Helvetica;sans-serif" w:eastAsia="Times New Roman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BSM.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sk-SK"/>
              </w:rPr>
              <w:t>9,20 - 10,05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>Analýza zmlúv súvisiacich s vecnoprávnymi vzťahmi k nehnuteľnostiam, o.i.: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- kúpna zmluva,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zámenná zmluva,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rozdeľovacia zmluva - zmluva o zrušení podielového spoluvlastníctva a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 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rozdelení spoločnej nehnuteľnosti,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- zmluva o vyporiadaní BSM po zániku manželstva,                                               - zrušenie BSM za trvania  manželstva,                                                                 </w:t>
            </w: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- darovacia zmluva a jej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 špecifické formy, nástroje a metódy,                                                                             - </w:t>
            </w: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vecné práva k nehnuteľnostiam,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záložné právo,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predkupné právo ako vecné právo,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- vecné bremená,</w:t>
            </w:r>
          </w:p>
          <w:p>
            <w:pPr>
              <w:pStyle w:val="Normal"/>
              <w:widowControl/>
              <w:spacing w:before="0" w:after="0"/>
              <w:rPr>
                <w:rFonts w:ascii="Arial;Helvetica;sans-serif" w:hAnsi="Arial;Helvetica;sans-serif" w:eastAsia="Times New Roman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- nájomné právo.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color w:val="222222"/>
                <w:sz w:val="24"/>
                <w:szCs w:val="24"/>
                <w:lang w:eastAsia="sk-SK"/>
              </w:rPr>
              <w:t>10,10 - 10,55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Kontext so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lang w:eastAsia="sk-SK"/>
              </w:rPr>
              <w:t xml:space="preserve"> zákonom č. 420/2004 Z.z. o mediáciia o doplnení niektorých zákonov  (ďalej len mediačný zákon)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sk-SK"/>
              </w:rPr>
              <w:t xml:space="preserve"> :                                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>- zodpovednosť mediátora pri právne perfektnej Dohode o mediácii a jeho angažovanosť v procese zápisu do listu vlastníctva - zodpovednosť mediátora v zmysle § 4, ods.2,pís.a/1 mediačného zákona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>pri mediácii vecnoprávnej agendy,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- špecifiká poučenie strán v § 4, ods.2,pís.a5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mediačného zákona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pri mediácii vecnoprávnej agendy,                                                                                                   - účastníci mediačného konania pri mediácii vecnoprávnej agendy.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222222"/>
                <w:sz w:val="24"/>
                <w:szCs w:val="24"/>
                <w:lang w:eastAsia="sk-SK"/>
              </w:rPr>
              <w:t>11,00 - 11,45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 -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Kontext s obsahovou a procesnou stránkou mediačného konania:                                                                                                              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222222"/>
                <w:sz w:val="24"/>
                <w:szCs w:val="24"/>
                <w:lang w:eastAsia="sk-SK"/>
              </w:rPr>
              <w:t xml:space="preserve"> - me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diačný proces v súvislosti s vecnoprávnymi vzťahmi k nehnuteľnostiam, jeho špecifiká, nástroje, metódy a techniky,                                                               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222222"/>
                <w:sz w:val="24"/>
                <w:szCs w:val="24"/>
                <w:lang w:eastAsia="sk-SK"/>
              </w:rPr>
              <w:t xml:space="preserve">príprava mediátora s akcentom na evaluačnú zložku procesu,                                   - požiadavka na odbornosť 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>mediátora a jeho skúsenosti s agendou vecnoprávnych vzťahov k nehnuteľnostiam.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222222"/>
                <w:sz w:val="24"/>
                <w:szCs w:val="24"/>
                <w:lang w:eastAsia="sk-SK"/>
              </w:rPr>
              <w:t>11,50 - 12,35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 Dohody o mediácii: (§ 15 zákona o mediácii)                                   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>- dohoda o urovnaní pri vecnoprávnych vzťahoch k nehnuteľnostiam realizovaná formou Dohody o mediácii,                                                                     - Dohoda o mediácii ako inominátna zmluva pri riešení duplicity (multiplicity) vlastníctva a možnosti zápisu do katastra nehnuteľností,                                           - Dohoda o mediácii pri vecnoprávnych vzťahoch k nehnuteľnostiam a  exekučný titul.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222222"/>
                <w:sz w:val="24"/>
                <w:szCs w:val="24"/>
                <w:lang w:eastAsia="sk-SK"/>
              </w:rPr>
              <w:t>12,35 – 13,05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>Obedňajšia prestávka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222222"/>
                <w:sz w:val="24"/>
                <w:szCs w:val="24"/>
                <w:lang w:eastAsia="sk-SK"/>
              </w:rPr>
              <w:t>13,05 - 13,50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>Z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ápis do katastra nehnuteľností</w:t>
            </w: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 xml:space="preserve">:  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 xml:space="preserve">                                                  - náležitosti mediačnej dohody, predmetom ktorej je nehnuteľnosť, návrh na vklad do katastra a prílohy k návrhu na vklad do katastra nehnuteľností.            - h</w:t>
            </w:r>
            <w:r>
              <w:rPr>
                <w:rFonts w:eastAsia="Times New Roman" w:cs="Arial" w:ascii="Arial" w:hAnsi="Arial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 xml:space="preserve">ranica pozemku jej nejasnosť/ spornosť a riešenie formou mediácie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eastAsia="sk-SK"/>
              </w:rPr>
              <w:t>.             - mediácia pri sporoch vo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vlastníctve pozemkov v spoločnej nehnuteľnosti,             - možnosti mediácie pri opravách chýb v katastrálnom operáte .  </w:t>
            </w:r>
          </w:p>
          <w:p>
            <w:pPr>
              <w:pStyle w:val="Normal"/>
              <w:shd w:val="clear" w:fill="FFFFFF"/>
              <w:spacing w:lineRule="auto" w:line="240" w:before="12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222222"/>
                <w:sz w:val="24"/>
                <w:szCs w:val="24"/>
                <w:lang w:eastAsia="sk-SK"/>
              </w:rPr>
              <w:t>14,00 - 15,30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Praktická časť:                                                                                   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color w:val="222222"/>
                <w:sz w:val="24"/>
                <w:szCs w:val="24"/>
                <w:lang w:eastAsia="sk-SK"/>
              </w:rPr>
              <w:t>kazuistika/rolové cvičenie s následným vypracovaním Dohody o začatí mediácie,                                                                                                                      - zápisu do Knihy mediácie,                                                                                    - Dohod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sk-SK"/>
              </w:rPr>
              <w:t xml:space="preserve">y o mediácii s prihliadnutím na jej špecifiká, formu a obsah, proces vkladu do katastra nehnuteľností.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634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Cieľová skupina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Mediátori s ukončeným vzdelaním v zmysle zákona č.420 /2004 Z. z. o mediácii </w:t>
            </w:r>
            <w:r>
              <w:rPr>
                <w:rFonts w:cs="Arial" w:ascii="Arial" w:hAnsi="Arial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a o doplnení niektorých zákonov v znení neskorších predpisov </w:t>
            </w:r>
            <w:r>
              <w:rPr>
                <w:rFonts w:cs="Arial" w:ascii="Arial" w:hAnsi="Arial"/>
                <w:sz w:val="24"/>
                <w:szCs w:val="24"/>
              </w:rPr>
              <w:t>v platnom znení.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</w:p>
        </w:tc>
      </w:tr>
      <w:tr>
        <w:trPr>
          <w:trHeight w:val="38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Štruktúra výučby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360" w:right="0" w:hanging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sk-SK"/>
              </w:rPr>
              <w:t xml:space="preserve">8 vyučovacích hodín </w:t>
            </w:r>
          </w:p>
          <w:p>
            <w:pPr>
              <w:pStyle w:val="Normal"/>
              <w:spacing w:before="0" w:after="0"/>
              <w:ind w:left="360" w:right="0" w:hanging="0"/>
              <w:rPr>
                <w:rFonts w:ascii="Arial" w:hAnsi="Arial"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sk-SK"/>
              </w:rPr>
            </w:r>
          </w:p>
        </w:tc>
      </w:tr>
      <w:tr>
        <w:trPr>
          <w:trHeight w:val="38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Výstup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08" w:right="0" w:hanging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iCs/>
                <w:sz w:val="24"/>
                <w:szCs w:val="24"/>
              </w:rPr>
              <w:t xml:space="preserve">Osvedčenie o absolvovaní odborného seminára </w:t>
            </w:r>
          </w:p>
        </w:tc>
      </w:tr>
      <w:tr>
        <w:trPr>
          <w:trHeight w:val="38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Odborný garant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JUDr. František Kutlík</w:t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Lektor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JUDr. František Kutlík, mediátor s ev.č.14, predseda Slovenského inštitútu pre mediáciu a alternatívne riešenie sporov, z.z.p.o.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JUDr. Antónia Mikulíková, mediátor s ev.č.610, mediátorka so špecializáciou na vecnoprávne vzťahy k nehnuteľnostiam, bývalá členka Rady Slovenského pozemkového fondu.</w:t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Kontaktné údaje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Slovenský inštitút pre mediáciu a alternatívne riešenie sporov, z.z.p.o.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Tallerova 3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811 02 Bratislava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admin@simars.sk, </w:t>
            </w:r>
            <w:r>
              <w:rPr>
                <w:rFonts w:cs="Arial" w:ascii="Arial" w:hAnsi="Arial"/>
                <w:sz w:val="24"/>
                <w:szCs w:val="24"/>
              </w:rPr>
              <w:t>www.simars.sk.</w:t>
            </w:r>
          </w:p>
        </w:tc>
      </w:tr>
      <w:tr>
        <w:trPr>
          <w:trHeight w:val="737" w:hRule="atLeast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Poznámka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vAlign w:val="center"/>
          </w:tcPr>
          <w:p>
            <w:pPr>
              <w:pStyle w:val="Default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  <w:p>
            <w:pPr>
              <w:pStyle w:val="Default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Po skončení seminára bude vytvorený priestor na podanie informácii o pripravovaných (o.i. zdravotnícka mediácia pre MZ SR, cezhraničná rodinná mediácia v EÚ, atď.) a aktuálnych projektoch (o.i.mediácia ako súčasť práce s obeťami trestných činov MV SR) na ktorých participuje SIMARS, z.z.p.o. s možnosťou  participácie ďaľších mediátorov.</w:t>
            </w:r>
          </w:p>
          <w:p>
            <w:pPr>
              <w:pStyle w:val="Default"/>
              <w:spacing w:before="0" w:after="0"/>
              <w:jc w:val="left"/>
              <w:rPr>
                <w:rFonts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sk-SK"/>
        </w:rPr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222222"/>
          <w:sz w:val="40"/>
          <w:szCs w:val="40"/>
          <w:lang w:eastAsia="sk-SK"/>
        </w:rPr>
        <w:t xml:space="preserve">       </w:t>
      </w:r>
    </w:p>
    <w:sectPr>
      <w:type w:val="nextPage"/>
      <w:pgSz w:w="11906" w:h="16838"/>
      <w:pgMar w:left="1417" w:right="141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sans-serif"/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dpis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Nadpis2Char">
    <w:name w:val="Nadpis 2 Ch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Mwheadline">
    <w:name w:val="mw-headline"/>
    <w:basedOn w:val="DefaultParagraphFont"/>
    <w:qFormat/>
    <w:rPr/>
  </w:style>
  <w:style w:type="character" w:styleId="Mweditsection">
    <w:name w:val="mw-editsection"/>
    <w:basedOn w:val="DefaultParagraphFont"/>
    <w:qFormat/>
    <w:rPr/>
  </w:style>
  <w:style w:type="character" w:styleId="Mweditsectionbracket">
    <w:name w:val="mw-editsection-bracket"/>
    <w:basedOn w:val="DefaultParagraphFont"/>
    <w:qFormat/>
    <w:rPr/>
  </w:style>
  <w:style w:type="character" w:styleId="Mweditsectiondivider">
    <w:name w:val="mw-editsection-divider"/>
    <w:basedOn w:val="DefaultParagraphFont"/>
    <w:qFormat/>
    <w:rPr/>
  </w:style>
  <w:style w:type="character" w:styleId="Zdraznn">
    <w:name w:val="Zdůraznění"/>
    <w:basedOn w:val="DefaultParagraphFont"/>
    <w:qFormat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1F497D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Promnn">
    <w:name w:val="Proměnný"/>
    <w:qFormat/>
    <w:rPr>
      <w:i/>
      <w:iCs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sk-SK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Application>LibreOffice/6.0.1.1$Windows_X86_64 LibreOffice_project/60bfb1526849283ce2491346ed2aa51c465abfe6</Application>
  <Pages>4</Pages>
  <Words>753</Words>
  <Characters>4739</Characters>
  <CharactersWithSpaces>6665</CharactersWithSpaces>
  <Paragraphs>71</Paragraphs>
  <Company>CDV 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2019-07-25T11:13:00Z</dcterms:created>
  <dc:creator>katarina.simonova</dc:creator>
  <dc:description/>
  <dc:language>cs-CZ</dc:language>
  <cp:lastModifiedBy/>
  <cp:lastPrinted>2019-08-06T12:51:24Z</cp:lastPrinted>
  <dcterms:modified xsi:type="dcterms:W3CDTF">2019-08-25T07:25:32Z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 UK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